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3BB5E" w14:textId="77777777" w:rsidR="001D37B5" w:rsidRDefault="007F17AC" w:rsidP="001D37B5">
      <w:pPr>
        <w:spacing w:after="0"/>
        <w:ind w:left="-284" w:right="-448"/>
        <w:rPr>
          <w:b/>
          <w:sz w:val="28"/>
          <w:szCs w:val="28"/>
          <w:u w:val="single"/>
        </w:rPr>
      </w:pPr>
      <w:r w:rsidRPr="009328B3">
        <w:rPr>
          <w:b/>
          <w:sz w:val="28"/>
          <w:szCs w:val="28"/>
          <w:u w:val="single"/>
        </w:rPr>
        <w:t>Rent (</w:t>
      </w:r>
      <w:r w:rsidR="00AB3215">
        <w:rPr>
          <w:b/>
          <w:sz w:val="28"/>
          <w:szCs w:val="28"/>
          <w:u w:val="single"/>
        </w:rPr>
        <w:t>VIC</w:t>
      </w:r>
      <w:r w:rsidR="00E64EF2">
        <w:rPr>
          <w:b/>
          <w:sz w:val="28"/>
          <w:szCs w:val="28"/>
          <w:u w:val="single"/>
        </w:rPr>
        <w:t>)</w:t>
      </w:r>
      <w:r w:rsidR="0093041B" w:rsidRPr="009328B3">
        <w:rPr>
          <w:b/>
          <w:sz w:val="28"/>
          <w:szCs w:val="28"/>
          <w:u w:val="single"/>
        </w:rPr>
        <w:t xml:space="preserve"> Action Definition</w:t>
      </w:r>
    </w:p>
    <w:p w14:paraId="3EF7CEA7" w14:textId="3143B602" w:rsidR="009328B3" w:rsidRPr="009328B3" w:rsidRDefault="009328B3" w:rsidP="001D37B5">
      <w:pPr>
        <w:ind w:left="-284" w:right="-449"/>
        <w:rPr>
          <w:sz w:val="24"/>
          <w:szCs w:val="24"/>
        </w:rPr>
      </w:pPr>
      <w:r w:rsidRPr="009328B3">
        <w:rPr>
          <w:sz w:val="24"/>
          <w:szCs w:val="24"/>
        </w:rPr>
        <w:t xml:space="preserve">This action definition describes the process for paying Rent in </w:t>
      </w:r>
      <w:r w:rsidR="00251232">
        <w:rPr>
          <w:sz w:val="24"/>
          <w:szCs w:val="24"/>
        </w:rPr>
        <w:t>Victoria</w:t>
      </w:r>
      <w:r w:rsidRPr="009328B3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E4788" w:rsidRPr="009328B3" w14:paraId="0EC4F257" w14:textId="77777777" w:rsidTr="008E4788">
        <w:tc>
          <w:tcPr>
            <w:tcW w:w="3369" w:type="dxa"/>
          </w:tcPr>
          <w:p w14:paraId="43BFBDC6" w14:textId="77777777" w:rsidR="008E4788" w:rsidRPr="009328B3" w:rsidRDefault="008E4788" w:rsidP="00C85E2E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2DE03E5B" w14:textId="77777777" w:rsidR="008E4788" w:rsidRPr="009328B3" w:rsidRDefault="008E4788" w:rsidP="00C85E2E">
            <w:pPr>
              <w:rPr>
                <w:sz w:val="24"/>
                <w:szCs w:val="24"/>
              </w:rPr>
            </w:pPr>
          </w:p>
        </w:tc>
      </w:tr>
    </w:tbl>
    <w:p w14:paraId="3491BFCF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p w14:paraId="5678379F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392"/>
        <w:gridCol w:w="11"/>
        <w:gridCol w:w="1476"/>
        <w:gridCol w:w="6320"/>
      </w:tblGrid>
      <w:tr w:rsidR="00B340AC" w:rsidRPr="009328B3" w14:paraId="1A3C49ED" w14:textId="77777777" w:rsidTr="00A33A0B">
        <w:tc>
          <w:tcPr>
            <w:tcW w:w="11199" w:type="dxa"/>
            <w:gridSpan w:val="4"/>
            <w:shd w:val="pct15" w:color="auto" w:fill="auto"/>
          </w:tcPr>
          <w:p w14:paraId="5CFABD48" w14:textId="77777777" w:rsidR="00B340AC" w:rsidRPr="009328B3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C30241" w:rsidRPr="009328B3">
              <w:rPr>
                <w:b/>
                <w:sz w:val="24"/>
                <w:szCs w:val="24"/>
              </w:rPr>
              <w:t>Trigger</w:t>
            </w:r>
          </w:p>
        </w:tc>
      </w:tr>
      <w:tr w:rsidR="00985509" w:rsidRPr="009328B3" w14:paraId="58761C44" w14:textId="77777777" w:rsidTr="00F01090">
        <w:tc>
          <w:tcPr>
            <w:tcW w:w="3392" w:type="dxa"/>
          </w:tcPr>
          <w:p w14:paraId="15ECC99D" w14:textId="77777777" w:rsidR="00985509" w:rsidRPr="009328B3" w:rsidRDefault="00C477EB" w:rsidP="00165FBA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Asset</w:t>
            </w:r>
            <w:r w:rsidR="00985509" w:rsidRPr="009328B3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37FF4E93" w14:textId="77777777" w:rsidR="00985509" w:rsidRPr="009328B3" w:rsidRDefault="00985509" w:rsidP="00165FBA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Tenement</w:t>
            </w:r>
          </w:p>
        </w:tc>
      </w:tr>
      <w:tr w:rsidR="004E25E9" w:rsidRPr="009328B3" w14:paraId="386DF6D1" w14:textId="77777777" w:rsidTr="00F01090">
        <w:tc>
          <w:tcPr>
            <w:tcW w:w="3392" w:type="dxa"/>
          </w:tcPr>
          <w:p w14:paraId="462745C1" w14:textId="77777777" w:rsidR="004E25E9" w:rsidRPr="009328B3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212C49" w:rsidRPr="009328B3">
              <w:rPr>
                <w:b/>
                <w:sz w:val="24"/>
                <w:szCs w:val="24"/>
              </w:rPr>
              <w:t>Name</w:t>
            </w:r>
            <w:r w:rsidR="003C6C1D" w:rsidRPr="009328B3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6BABC9EA" w14:textId="77777777" w:rsidR="004E25E9" w:rsidRPr="009328B3" w:rsidRDefault="004E25E9" w:rsidP="00431E89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Rent</w:t>
            </w:r>
          </w:p>
        </w:tc>
      </w:tr>
      <w:tr w:rsidR="004E25E9" w:rsidRPr="009328B3" w14:paraId="624895D8" w14:textId="77777777" w:rsidTr="00F01090">
        <w:tc>
          <w:tcPr>
            <w:tcW w:w="3392" w:type="dxa"/>
          </w:tcPr>
          <w:p w14:paraId="6DA27D79" w14:textId="77777777" w:rsidR="004E25E9" w:rsidRPr="009328B3" w:rsidRDefault="004E25E9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0DB48B16" w14:textId="77777777" w:rsidR="004E25E9" w:rsidRPr="009328B3" w:rsidRDefault="00A917A7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{</w:t>
            </w:r>
            <w:r w:rsidR="00D213FE" w:rsidRPr="009328B3">
              <w:rPr>
                <w:sz w:val="24"/>
                <w:szCs w:val="24"/>
              </w:rPr>
              <w:t>s</w:t>
            </w:r>
            <w:r w:rsidR="004E25E9" w:rsidRPr="009328B3">
              <w:rPr>
                <w:sz w:val="24"/>
                <w:szCs w:val="24"/>
              </w:rPr>
              <w:t>tatus</w:t>
            </w:r>
            <w:r w:rsidRPr="009328B3">
              <w:rPr>
                <w:sz w:val="24"/>
                <w:szCs w:val="24"/>
              </w:rPr>
              <w:t>}</w:t>
            </w:r>
            <w:r w:rsidR="004E25E9" w:rsidRPr="009328B3">
              <w:rPr>
                <w:sz w:val="24"/>
                <w:szCs w:val="24"/>
              </w:rPr>
              <w:t xml:space="preserve"> = Live</w:t>
            </w:r>
          </w:p>
        </w:tc>
      </w:tr>
      <w:tr w:rsidR="00F01090" w:rsidRPr="00D330B0" w14:paraId="464F3335" w14:textId="77777777" w:rsidTr="00DC3A6E">
        <w:tc>
          <w:tcPr>
            <w:tcW w:w="3403" w:type="dxa"/>
            <w:gridSpan w:val="2"/>
          </w:tcPr>
          <w:p w14:paraId="15A96AEB" w14:textId="77777777" w:rsidR="00F01090" w:rsidRPr="001051DD" w:rsidRDefault="00F01090" w:rsidP="00DC3A6E">
            <w:pPr>
              <w:jc w:val="right"/>
              <w:rPr>
                <w:b/>
                <w:sz w:val="24"/>
                <w:szCs w:val="24"/>
              </w:rPr>
            </w:pPr>
            <w:r w:rsidRPr="001051DD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1F777EFB" w14:textId="77777777" w:rsidR="00F01090" w:rsidRPr="001051DD" w:rsidRDefault="00F01090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1051DD">
              <w:rPr>
                <w:sz w:val="24"/>
                <w:szCs w:val="24"/>
              </w:rPr>
              <w:t>Managed</w:t>
            </w:r>
          </w:p>
        </w:tc>
      </w:tr>
      <w:tr w:rsidR="00D27C76" w:rsidRPr="009328B3" w14:paraId="23F75830" w14:textId="77777777" w:rsidTr="00F01090">
        <w:tc>
          <w:tcPr>
            <w:tcW w:w="3392" w:type="dxa"/>
          </w:tcPr>
          <w:p w14:paraId="38045542" w14:textId="77777777" w:rsidR="00D27C76" w:rsidRPr="009328B3" w:rsidRDefault="00D27C76" w:rsidP="00B062D7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</w:tcPr>
          <w:p w14:paraId="19479ED2" w14:textId="72D016EF" w:rsidR="00D27C76" w:rsidRPr="009328B3" w:rsidRDefault="003213D4" w:rsidP="0093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Reporting</w:t>
            </w:r>
            <w:r w:rsidR="00C044D7" w:rsidRPr="009328B3">
              <w:footnoteReference w:id="2"/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6BA4950F" w14:textId="77777777" w:rsidR="00D27C76" w:rsidRPr="009328B3" w:rsidRDefault="00D27C76" w:rsidP="00AB3215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= {</w:t>
            </w:r>
            <w:proofErr w:type="spellStart"/>
            <w:r w:rsidR="00AB3215">
              <w:rPr>
                <w:sz w:val="24"/>
                <w:szCs w:val="24"/>
              </w:rPr>
              <w:t>ReportingDate</w:t>
            </w:r>
            <w:proofErr w:type="spellEnd"/>
            <w:r w:rsidRPr="009328B3">
              <w:rPr>
                <w:sz w:val="24"/>
                <w:szCs w:val="24"/>
              </w:rPr>
              <w:t>} + {Interval}</w:t>
            </w:r>
          </w:p>
        </w:tc>
      </w:tr>
      <w:tr w:rsidR="00D27C76" w:rsidRPr="009328B3" w14:paraId="2F26F7BF" w14:textId="77777777" w:rsidTr="00F01090">
        <w:tc>
          <w:tcPr>
            <w:tcW w:w="3392" w:type="dxa"/>
          </w:tcPr>
          <w:p w14:paraId="62FEE71A" w14:textId="77777777" w:rsidR="00D27C76" w:rsidRPr="009328B3" w:rsidRDefault="00D27C76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</w:tcPr>
          <w:p w14:paraId="67F4BD17" w14:textId="77777777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Deadline</w:t>
            </w:r>
            <w:r w:rsidR="00C044D7" w:rsidRPr="009328B3">
              <w:footnoteReference w:id="3"/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330703BB" w14:textId="77777777" w:rsidR="00D27C76" w:rsidRPr="009328B3" w:rsidRDefault="00AB3215" w:rsidP="00AB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{Critical Date} + 27</w:t>
            </w:r>
            <w:r w:rsidR="00D27C76" w:rsidRPr="009328B3">
              <w:rPr>
                <w:sz w:val="24"/>
                <w:szCs w:val="24"/>
              </w:rPr>
              <w:t xml:space="preserve"> days</w:t>
            </w:r>
          </w:p>
        </w:tc>
      </w:tr>
    </w:tbl>
    <w:p w14:paraId="6E586024" w14:textId="77777777" w:rsidR="00555AA8" w:rsidRPr="009328B3" w:rsidRDefault="00555AA8" w:rsidP="009328B3">
      <w:pPr>
        <w:spacing w:after="12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1725"/>
        <w:gridCol w:w="2386"/>
      </w:tblGrid>
      <w:tr w:rsidR="007938C3" w:rsidRPr="009328B3" w14:paraId="2C0DC3AA" w14:textId="77777777" w:rsidTr="009328B3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D3818" w14:textId="77777777" w:rsidR="007938C3" w:rsidRPr="009328B3" w:rsidRDefault="007938C3" w:rsidP="00165FBA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Applies To</w:t>
            </w:r>
          </w:p>
        </w:tc>
      </w:tr>
      <w:tr w:rsidR="00884C81" w:rsidRPr="009328B3" w14:paraId="43A8D07F" w14:textId="1CF2DBC2" w:rsidTr="00884C81">
        <w:tc>
          <w:tcPr>
            <w:tcW w:w="2694" w:type="dxa"/>
            <w:shd w:val="clear" w:color="auto" w:fill="D9D9D9" w:themeFill="background1" w:themeFillShade="D9"/>
          </w:tcPr>
          <w:p w14:paraId="27182D85" w14:textId="77777777" w:rsidR="00884C81" w:rsidRPr="009328B3" w:rsidRDefault="00884C81" w:rsidP="00884C81">
            <w:pPr>
              <w:rPr>
                <w:b/>
                <w:sz w:val="24"/>
                <w:szCs w:val="24"/>
              </w:rPr>
            </w:pPr>
            <w:bookmarkStart w:id="0" w:name="_Hlk429579419"/>
            <w:r w:rsidRPr="009328B3">
              <w:rPr>
                <w:b/>
                <w:sz w:val="24"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5971C35" w14:textId="77777777" w:rsidR="00884C81" w:rsidRPr="009328B3" w:rsidRDefault="00884C81" w:rsidP="00884C81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Sub Type</w:t>
            </w:r>
          </w:p>
        </w:tc>
        <w:tc>
          <w:tcPr>
            <w:tcW w:w="1725" w:type="dxa"/>
            <w:shd w:val="clear" w:color="auto" w:fill="D9D9D9" w:themeFill="background1" w:themeFillShade="D9"/>
          </w:tcPr>
          <w:p w14:paraId="712215BC" w14:textId="77777777" w:rsidR="00884C81" w:rsidRPr="009328B3" w:rsidRDefault="00884C81" w:rsidP="00884C81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2BE55492" w14:textId="41FE2D71" w:rsidR="00884C81" w:rsidRPr="009328B3" w:rsidRDefault="00884C81" w:rsidP="00884C81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Interval</w:t>
            </w:r>
          </w:p>
        </w:tc>
      </w:tr>
      <w:bookmarkEnd w:id="0"/>
      <w:tr w:rsidR="00884C81" w:rsidRPr="009328B3" w14:paraId="44408B29" w14:textId="42B1DE61" w:rsidTr="00884C81">
        <w:tc>
          <w:tcPr>
            <w:tcW w:w="2694" w:type="dxa"/>
            <w:shd w:val="clear" w:color="auto" w:fill="D6E3BC" w:themeFill="accent3" w:themeFillTint="66"/>
          </w:tcPr>
          <w:p w14:paraId="3E537413" w14:textId="77777777" w:rsidR="00884C81" w:rsidRPr="009328B3" w:rsidRDefault="00884C81" w:rsidP="0088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2298D1E0" w14:textId="77777777" w:rsidR="00884C81" w:rsidRPr="009328B3" w:rsidRDefault="00884C81" w:rsidP="00884C81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Exploration Licence</w:t>
            </w:r>
          </w:p>
        </w:tc>
        <w:tc>
          <w:tcPr>
            <w:tcW w:w="1725" w:type="dxa"/>
            <w:shd w:val="clear" w:color="auto" w:fill="D6E3BC" w:themeFill="accent3" w:themeFillTint="66"/>
          </w:tcPr>
          <w:p w14:paraId="5BB8311A" w14:textId="77777777" w:rsidR="00884C81" w:rsidRPr="009328B3" w:rsidRDefault="00884C81" w:rsidP="00884C81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D6E3BC" w:themeFill="accent3" w:themeFillTint="66"/>
          </w:tcPr>
          <w:p w14:paraId="3CAD1418" w14:textId="4F2229D5" w:rsidR="00884C81" w:rsidRPr="009328B3" w:rsidRDefault="00884C81" w:rsidP="00884C81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0 years, every 1 year</w:t>
            </w:r>
          </w:p>
        </w:tc>
      </w:tr>
      <w:tr w:rsidR="00884C81" w:rsidRPr="009328B3" w14:paraId="73B15680" w14:textId="11EF63BF" w:rsidTr="00884C81">
        <w:tc>
          <w:tcPr>
            <w:tcW w:w="2694" w:type="dxa"/>
            <w:shd w:val="clear" w:color="auto" w:fill="D6E3BC" w:themeFill="accent3" w:themeFillTint="66"/>
          </w:tcPr>
          <w:p w14:paraId="7B278021" w14:textId="77777777" w:rsidR="00884C81" w:rsidRPr="009328B3" w:rsidRDefault="00884C81" w:rsidP="0088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356B62D5" w14:textId="77777777" w:rsidR="00884C81" w:rsidRPr="009328B3" w:rsidRDefault="00884C81" w:rsidP="00884C81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Prospecting Licence</w:t>
            </w:r>
          </w:p>
        </w:tc>
        <w:tc>
          <w:tcPr>
            <w:tcW w:w="1725" w:type="dxa"/>
            <w:shd w:val="clear" w:color="auto" w:fill="D6E3BC" w:themeFill="accent3" w:themeFillTint="66"/>
          </w:tcPr>
          <w:p w14:paraId="73BB4E22" w14:textId="77777777" w:rsidR="00884C81" w:rsidRPr="009328B3" w:rsidRDefault="00884C81" w:rsidP="00884C81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D6E3BC" w:themeFill="accent3" w:themeFillTint="66"/>
          </w:tcPr>
          <w:p w14:paraId="27D24E49" w14:textId="6CABABCA" w:rsidR="00884C81" w:rsidRPr="009328B3" w:rsidRDefault="00884C81" w:rsidP="00884C81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0 years, every 1 year</w:t>
            </w:r>
          </w:p>
        </w:tc>
      </w:tr>
      <w:tr w:rsidR="00884C81" w:rsidRPr="009328B3" w14:paraId="059E8F5A" w14:textId="2A100E15" w:rsidTr="00884C81">
        <w:tc>
          <w:tcPr>
            <w:tcW w:w="2694" w:type="dxa"/>
            <w:shd w:val="clear" w:color="auto" w:fill="D6E3BC" w:themeFill="accent3" w:themeFillTint="66"/>
          </w:tcPr>
          <w:p w14:paraId="755058EB" w14:textId="77777777" w:rsidR="00884C81" w:rsidRPr="009328B3" w:rsidRDefault="00884C81" w:rsidP="0088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26702948" w14:textId="77777777" w:rsidR="00884C81" w:rsidRPr="009328B3" w:rsidRDefault="00884C81" w:rsidP="00884C81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 xml:space="preserve">Mining </w:t>
            </w:r>
            <w:r>
              <w:rPr>
                <w:sz w:val="24"/>
                <w:szCs w:val="24"/>
              </w:rPr>
              <w:t>Licence</w:t>
            </w:r>
          </w:p>
        </w:tc>
        <w:tc>
          <w:tcPr>
            <w:tcW w:w="1725" w:type="dxa"/>
            <w:shd w:val="clear" w:color="auto" w:fill="D6E3BC" w:themeFill="accent3" w:themeFillTint="66"/>
          </w:tcPr>
          <w:p w14:paraId="37EC7703" w14:textId="77777777" w:rsidR="00884C81" w:rsidRPr="009328B3" w:rsidRDefault="00884C81" w:rsidP="00884C81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D6E3BC" w:themeFill="accent3" w:themeFillTint="66"/>
          </w:tcPr>
          <w:p w14:paraId="44F917F1" w14:textId="10EA554E" w:rsidR="00884C81" w:rsidRPr="009328B3" w:rsidRDefault="00884C81" w:rsidP="00884C81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0 years, every 1 year</w:t>
            </w:r>
          </w:p>
        </w:tc>
      </w:tr>
      <w:tr w:rsidR="00884C81" w:rsidRPr="009328B3" w14:paraId="5465539B" w14:textId="087A74E3" w:rsidTr="00884C81">
        <w:tc>
          <w:tcPr>
            <w:tcW w:w="2694" w:type="dxa"/>
            <w:shd w:val="clear" w:color="auto" w:fill="D6E3BC" w:themeFill="accent3" w:themeFillTint="66"/>
          </w:tcPr>
          <w:p w14:paraId="2EEE1A55" w14:textId="77777777" w:rsidR="00884C81" w:rsidRPr="009328B3" w:rsidRDefault="00884C81" w:rsidP="00884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7F74EFEA" w14:textId="77777777" w:rsidR="00884C81" w:rsidRPr="009328B3" w:rsidRDefault="00884C81" w:rsidP="00884C81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Retention Licence</w:t>
            </w:r>
          </w:p>
        </w:tc>
        <w:tc>
          <w:tcPr>
            <w:tcW w:w="1725" w:type="dxa"/>
            <w:shd w:val="clear" w:color="auto" w:fill="D6E3BC" w:themeFill="accent3" w:themeFillTint="66"/>
          </w:tcPr>
          <w:p w14:paraId="4424D753" w14:textId="77777777" w:rsidR="00884C81" w:rsidRPr="009328B3" w:rsidRDefault="00884C81" w:rsidP="00884C81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D6E3BC" w:themeFill="accent3" w:themeFillTint="66"/>
          </w:tcPr>
          <w:p w14:paraId="5CE2CFF3" w14:textId="67097816" w:rsidR="00884C81" w:rsidRPr="009328B3" w:rsidRDefault="00884C81" w:rsidP="00884C81">
            <w:pPr>
              <w:rPr>
                <w:sz w:val="24"/>
                <w:szCs w:val="24"/>
              </w:rPr>
            </w:pPr>
            <w:r>
              <w:rPr>
                <w:szCs w:val="24"/>
              </w:rPr>
              <w:t>0 years, every 1 year</w:t>
            </w:r>
          </w:p>
        </w:tc>
      </w:tr>
      <w:tr w:rsidR="00884C81" w:rsidRPr="009328B3" w14:paraId="3FBAC675" w14:textId="63CABE16" w:rsidTr="00884C81">
        <w:tc>
          <w:tcPr>
            <w:tcW w:w="2694" w:type="dxa"/>
            <w:shd w:val="clear" w:color="auto" w:fill="D6E3BC" w:themeFill="accent3" w:themeFillTint="66"/>
          </w:tcPr>
          <w:p w14:paraId="4E4553F3" w14:textId="77777777" w:rsidR="00884C81" w:rsidRPr="009328B3" w:rsidRDefault="00884C81" w:rsidP="00884C8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14:paraId="54B267AB" w14:textId="77777777" w:rsidR="00884C81" w:rsidRPr="009328B3" w:rsidRDefault="00884C81" w:rsidP="00884C81">
            <w:pPr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D6E3BC" w:themeFill="accent3" w:themeFillTint="66"/>
          </w:tcPr>
          <w:p w14:paraId="5B3FF585" w14:textId="2E03CF57" w:rsidR="00884C81" w:rsidRPr="009328B3" w:rsidRDefault="00884C81" w:rsidP="00884C81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D6E3BC" w:themeFill="accent3" w:themeFillTint="66"/>
          </w:tcPr>
          <w:p w14:paraId="73EB3A11" w14:textId="77777777" w:rsidR="00884C81" w:rsidRPr="009328B3" w:rsidRDefault="00884C81" w:rsidP="00884C81">
            <w:pPr>
              <w:rPr>
                <w:sz w:val="24"/>
                <w:szCs w:val="24"/>
              </w:rPr>
            </w:pPr>
          </w:p>
        </w:tc>
      </w:tr>
    </w:tbl>
    <w:p w14:paraId="7B5C59DB" w14:textId="77777777" w:rsidR="007938C3" w:rsidRPr="009328B3" w:rsidRDefault="007938C3" w:rsidP="009328B3">
      <w:pPr>
        <w:spacing w:after="12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9328B3" w14:paraId="37372228" w14:textId="77777777" w:rsidTr="00A33A0B">
        <w:tc>
          <w:tcPr>
            <w:tcW w:w="11199" w:type="dxa"/>
            <w:gridSpan w:val="2"/>
            <w:shd w:val="pct15" w:color="auto" w:fill="auto"/>
          </w:tcPr>
          <w:p w14:paraId="20F02138" w14:textId="77777777" w:rsidR="008E2879" w:rsidRPr="009328B3" w:rsidRDefault="007055C3" w:rsidP="00431E89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Task L</w:t>
            </w:r>
            <w:r w:rsidR="008E2879" w:rsidRPr="009328B3">
              <w:rPr>
                <w:b/>
                <w:sz w:val="24"/>
                <w:szCs w:val="24"/>
              </w:rPr>
              <w:t>ist</w:t>
            </w:r>
          </w:p>
        </w:tc>
      </w:tr>
      <w:tr w:rsidR="00441A77" w:rsidRPr="009328B3" w14:paraId="3EAA77CB" w14:textId="77777777" w:rsidTr="009328B3">
        <w:tc>
          <w:tcPr>
            <w:tcW w:w="7939" w:type="dxa"/>
            <w:shd w:val="clear" w:color="auto" w:fill="D9D9D9" w:themeFill="background1" w:themeFillShade="D9"/>
          </w:tcPr>
          <w:p w14:paraId="592636F1" w14:textId="77777777" w:rsidR="00441A77" w:rsidRPr="009328B3" w:rsidRDefault="00441A7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A16904C" w14:textId="77777777" w:rsidR="00441A77" w:rsidRPr="009328B3" w:rsidRDefault="001B07C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Days Needed</w:t>
            </w:r>
            <w:r w:rsidR="007055C3" w:rsidRPr="009328B3">
              <w:rPr>
                <w:b/>
                <w:sz w:val="24"/>
                <w:szCs w:val="24"/>
              </w:rPr>
              <w:t xml:space="preserve"> </w:t>
            </w:r>
            <w:r w:rsidRPr="009328B3">
              <w:rPr>
                <w:b/>
                <w:sz w:val="24"/>
                <w:szCs w:val="24"/>
              </w:rPr>
              <w:t>Before Deadline</w:t>
            </w:r>
          </w:p>
        </w:tc>
      </w:tr>
      <w:tr w:rsidR="006275EC" w:rsidRPr="009328B3" w14:paraId="0EA64C40" w14:textId="77777777" w:rsidTr="00C05C34">
        <w:trPr>
          <w:trHeight w:val="279"/>
        </w:trPr>
        <w:tc>
          <w:tcPr>
            <w:tcW w:w="7939" w:type="dxa"/>
            <w:shd w:val="clear" w:color="auto" w:fill="D6E3BC" w:themeFill="accent3" w:themeFillTint="66"/>
          </w:tcPr>
          <w:p w14:paraId="2CC28BD3" w14:textId="77777777" w:rsidR="006275EC" w:rsidRPr="009328B3" w:rsidRDefault="00C05C34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C05C34">
              <w:rPr>
                <w:sz w:val="24"/>
                <w:szCs w:val="24"/>
              </w:rPr>
              <w:t>Notify Geo or Exploration Manager of Rent Due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3E7AF8C4" w14:textId="77777777" w:rsidR="006275EC" w:rsidRPr="009328B3" w:rsidRDefault="00C05C34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70d</w:t>
            </w:r>
          </w:p>
        </w:tc>
      </w:tr>
      <w:tr w:rsidR="00C05C34" w:rsidRPr="009328B3" w14:paraId="0BBA5BD7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1CC7ECF2" w14:textId="77777777" w:rsidR="00C05C34" w:rsidRPr="009328B3" w:rsidRDefault="00C05C34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C05C34">
              <w:rPr>
                <w:sz w:val="24"/>
                <w:szCs w:val="24"/>
              </w:rPr>
              <w:t>Notify Accounts – Reminder to pay rent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3CD9D482" w14:textId="77777777" w:rsidR="00C05C34" w:rsidRPr="009328B3" w:rsidRDefault="00C05C34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30d</w:t>
            </w:r>
          </w:p>
        </w:tc>
      </w:tr>
      <w:tr w:rsidR="00C05C34" w:rsidRPr="009328B3" w14:paraId="5570D86F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07620E11" w14:textId="77777777" w:rsidR="00C05C34" w:rsidRPr="009328B3" w:rsidRDefault="00C05C34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C05C34">
              <w:rPr>
                <w:sz w:val="24"/>
                <w:szCs w:val="24"/>
              </w:rPr>
              <w:t>Pay Rent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57C2562D" w14:textId="77777777" w:rsidR="00C05C34" w:rsidRPr="009328B3" w:rsidRDefault="00C05C34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14d</w:t>
            </w:r>
          </w:p>
        </w:tc>
      </w:tr>
      <w:tr w:rsidR="009328B3" w:rsidRPr="009328B3" w14:paraId="5538509F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652BFD3A" w14:textId="77777777" w:rsidR="009328B3" w:rsidRPr="009328B3" w:rsidRDefault="009328B3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14:paraId="639E9148" w14:textId="77777777" w:rsidR="009328B3" w:rsidRPr="009328B3" w:rsidRDefault="009328B3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6C79B8F4" w14:textId="77777777" w:rsidR="00184150" w:rsidRDefault="00184150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 xml:space="preserve">: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negate the need for separate follow up Actions.  You may add in as many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as you wish. If a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has no Days Needed Before Deadline </w:t>
      </w:r>
      <w:proofErr w:type="gramStart"/>
      <w:r w:rsidRPr="009328B3">
        <w:rPr>
          <w:i/>
          <w:sz w:val="18"/>
          <w:szCs w:val="18"/>
        </w:rPr>
        <w:t>entered</w:t>
      </w:r>
      <w:proofErr w:type="gramEnd"/>
      <w:r w:rsidRPr="009328B3">
        <w:rPr>
          <w:i/>
          <w:sz w:val="18"/>
          <w:szCs w:val="18"/>
        </w:rPr>
        <w:t xml:space="preserve"> then it will default to the previous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Days Needed Before Deadline.</w:t>
      </w:r>
    </w:p>
    <w:p w14:paraId="5B32CFE9" w14:textId="4BF023BF" w:rsidR="00FA4EBA" w:rsidRDefault="00FA4EBA" w:rsidP="00FA4EBA">
      <w:pPr>
        <w:ind w:left="-284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A02140" w14:paraId="71A8B029" w14:textId="77777777" w:rsidTr="00A02140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3A7A66F" w14:textId="77777777" w:rsidR="00A02140" w:rsidRDefault="000D7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A02140" w14:paraId="10FD9DB6" w14:textId="77777777" w:rsidTr="00251232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7B0BCE" w14:textId="77777777" w:rsidR="00A02140" w:rsidRDefault="00492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80C1DD" w14:textId="77777777" w:rsidR="00A02140" w:rsidRDefault="00492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9A2802" w14:textId="77777777" w:rsidR="00A02140" w:rsidRDefault="00A0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210315" w14:paraId="6FEEE00D" w14:textId="77777777" w:rsidTr="00251232">
        <w:trPr>
          <w:trHeight w:val="279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FF72" w14:textId="2CCC222E" w:rsidR="00210315" w:rsidRDefault="000D2F8D" w:rsidP="00210315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9853" w14:textId="14D2DB7D" w:rsidR="00210315" w:rsidRDefault="000D2F8D" w:rsidP="0021031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6ED0" w14:textId="6E811DC8" w:rsidR="00210315" w:rsidRDefault="00EE0E0E" w:rsidP="0021031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EE0E0E">
              <w:rPr>
                <w:sz w:val="24"/>
                <w:szCs w:val="24"/>
              </w:rPr>
              <w:t>Removed Custom Fields and wiki links.</w:t>
            </w:r>
          </w:p>
        </w:tc>
      </w:tr>
      <w:tr w:rsidR="000D2F8D" w14:paraId="6CE956FF" w14:textId="77777777" w:rsidTr="00251232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3F4B" w14:textId="44C9DBF3" w:rsidR="000D2F8D" w:rsidRDefault="000D2F8D" w:rsidP="000D2F8D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28/08/2019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01BB" w14:textId="0F07C46F" w:rsidR="000D2F8D" w:rsidRDefault="000D2F8D" w:rsidP="000D2F8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227A" w14:textId="380790EB" w:rsidR="000D2F8D" w:rsidRDefault="000D2F8D" w:rsidP="000D2F8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0D2F8D" w14:paraId="5C65E9EA" w14:textId="77777777" w:rsidTr="00251232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361E" w14:textId="4CCBAD25" w:rsidR="000D2F8D" w:rsidRDefault="000D2F8D" w:rsidP="000D2F8D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19/2/2018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7E7" w14:textId="3CBE36F0" w:rsidR="000D2F8D" w:rsidRDefault="000D2F8D" w:rsidP="000D2F8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5BF0" w14:textId="684E6E80" w:rsidR="000D2F8D" w:rsidRDefault="000D2F8D" w:rsidP="000D2F8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</w:tbl>
    <w:p w14:paraId="2517E5A2" w14:textId="77777777" w:rsidR="006A3414" w:rsidRPr="009328B3" w:rsidRDefault="006A3414" w:rsidP="00AF75C1"/>
    <w:sectPr w:rsidR="006A3414" w:rsidRPr="009328B3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9782A" w14:textId="77777777" w:rsidR="002C3358" w:rsidRDefault="002C3358" w:rsidP="00AF75C1">
      <w:pPr>
        <w:spacing w:after="0" w:line="240" w:lineRule="auto"/>
      </w:pPr>
      <w:r>
        <w:separator/>
      </w:r>
    </w:p>
  </w:endnote>
  <w:endnote w:type="continuationSeparator" w:id="0">
    <w:p w14:paraId="0C07CBDD" w14:textId="77777777" w:rsidR="002C3358" w:rsidRDefault="002C3358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76169" w14:textId="77777777" w:rsidR="002C3358" w:rsidRDefault="002C3358" w:rsidP="00AF75C1">
      <w:pPr>
        <w:spacing w:after="0" w:line="240" w:lineRule="auto"/>
      </w:pPr>
      <w:r>
        <w:separator/>
      </w:r>
    </w:p>
  </w:footnote>
  <w:footnote w:type="continuationSeparator" w:id="0">
    <w:p w14:paraId="6054B7E7" w14:textId="77777777" w:rsidR="002C3358" w:rsidRDefault="002C3358" w:rsidP="00AF75C1">
      <w:pPr>
        <w:spacing w:after="0" w:line="240" w:lineRule="auto"/>
      </w:pPr>
      <w:r>
        <w:continuationSeparator/>
      </w:r>
    </w:p>
  </w:footnote>
  <w:footnote w:id="1">
    <w:p w14:paraId="58A40D7A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28A5F77C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3">
    <w:p w14:paraId="021414AF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679847">
    <w:abstractNumId w:val="1"/>
  </w:num>
  <w:num w:numId="2" w16cid:durableId="124472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35887"/>
    <w:rsid w:val="000567D5"/>
    <w:rsid w:val="00065DDC"/>
    <w:rsid w:val="0006729A"/>
    <w:rsid w:val="00073E2E"/>
    <w:rsid w:val="00092044"/>
    <w:rsid w:val="000C7037"/>
    <w:rsid w:val="000D2F8D"/>
    <w:rsid w:val="000D7BCB"/>
    <w:rsid w:val="000F0C7B"/>
    <w:rsid w:val="001051DD"/>
    <w:rsid w:val="001211B5"/>
    <w:rsid w:val="00135BFE"/>
    <w:rsid w:val="00153B19"/>
    <w:rsid w:val="00173393"/>
    <w:rsid w:val="00184150"/>
    <w:rsid w:val="001867AB"/>
    <w:rsid w:val="001B0421"/>
    <w:rsid w:val="001B07C7"/>
    <w:rsid w:val="001B1298"/>
    <w:rsid w:val="001C797F"/>
    <w:rsid w:val="001D37B5"/>
    <w:rsid w:val="001D7733"/>
    <w:rsid w:val="00210315"/>
    <w:rsid w:val="00212C49"/>
    <w:rsid w:val="00251232"/>
    <w:rsid w:val="002770FE"/>
    <w:rsid w:val="00280162"/>
    <w:rsid w:val="002967A8"/>
    <w:rsid w:val="002B602D"/>
    <w:rsid w:val="002C3358"/>
    <w:rsid w:val="002E3869"/>
    <w:rsid w:val="002E7D7C"/>
    <w:rsid w:val="00302986"/>
    <w:rsid w:val="00305247"/>
    <w:rsid w:val="00305C74"/>
    <w:rsid w:val="0031442C"/>
    <w:rsid w:val="003213D4"/>
    <w:rsid w:val="00323285"/>
    <w:rsid w:val="0035472F"/>
    <w:rsid w:val="00385DD1"/>
    <w:rsid w:val="003C6C1D"/>
    <w:rsid w:val="003E0486"/>
    <w:rsid w:val="003E48AE"/>
    <w:rsid w:val="00431E89"/>
    <w:rsid w:val="00441A77"/>
    <w:rsid w:val="004512C5"/>
    <w:rsid w:val="00475FE7"/>
    <w:rsid w:val="00492249"/>
    <w:rsid w:val="004D5989"/>
    <w:rsid w:val="004E25E9"/>
    <w:rsid w:val="00555AA8"/>
    <w:rsid w:val="00584116"/>
    <w:rsid w:val="005912F5"/>
    <w:rsid w:val="005D7814"/>
    <w:rsid w:val="006275EC"/>
    <w:rsid w:val="006A3414"/>
    <w:rsid w:val="007055C3"/>
    <w:rsid w:val="00731612"/>
    <w:rsid w:val="007440B1"/>
    <w:rsid w:val="00780FD0"/>
    <w:rsid w:val="007855B3"/>
    <w:rsid w:val="00787311"/>
    <w:rsid w:val="007938C3"/>
    <w:rsid w:val="007B705E"/>
    <w:rsid w:val="007F17AC"/>
    <w:rsid w:val="0082258E"/>
    <w:rsid w:val="00841728"/>
    <w:rsid w:val="00854D32"/>
    <w:rsid w:val="00880018"/>
    <w:rsid w:val="00884C81"/>
    <w:rsid w:val="008A61D2"/>
    <w:rsid w:val="008B2016"/>
    <w:rsid w:val="008E2879"/>
    <w:rsid w:val="008E4788"/>
    <w:rsid w:val="009176AF"/>
    <w:rsid w:val="0093041B"/>
    <w:rsid w:val="009328B3"/>
    <w:rsid w:val="00985509"/>
    <w:rsid w:val="00997DCA"/>
    <w:rsid w:val="00A02140"/>
    <w:rsid w:val="00A219FB"/>
    <w:rsid w:val="00A33A0B"/>
    <w:rsid w:val="00A35672"/>
    <w:rsid w:val="00A64930"/>
    <w:rsid w:val="00A917A7"/>
    <w:rsid w:val="00AB3215"/>
    <w:rsid w:val="00AF75C1"/>
    <w:rsid w:val="00B062D7"/>
    <w:rsid w:val="00B340AC"/>
    <w:rsid w:val="00BA1A65"/>
    <w:rsid w:val="00C044D7"/>
    <w:rsid w:val="00C05C34"/>
    <w:rsid w:val="00C14E64"/>
    <w:rsid w:val="00C30241"/>
    <w:rsid w:val="00C420AA"/>
    <w:rsid w:val="00C477EB"/>
    <w:rsid w:val="00CB6105"/>
    <w:rsid w:val="00CC0D30"/>
    <w:rsid w:val="00D03057"/>
    <w:rsid w:val="00D040CA"/>
    <w:rsid w:val="00D213FE"/>
    <w:rsid w:val="00D27C76"/>
    <w:rsid w:val="00D33907"/>
    <w:rsid w:val="00D4513F"/>
    <w:rsid w:val="00D568B4"/>
    <w:rsid w:val="00D93FD5"/>
    <w:rsid w:val="00DF03CA"/>
    <w:rsid w:val="00DF29A7"/>
    <w:rsid w:val="00E64EF2"/>
    <w:rsid w:val="00E87378"/>
    <w:rsid w:val="00EB6089"/>
    <w:rsid w:val="00ED1A7E"/>
    <w:rsid w:val="00ED78C0"/>
    <w:rsid w:val="00EE0E0E"/>
    <w:rsid w:val="00EF0E59"/>
    <w:rsid w:val="00F01090"/>
    <w:rsid w:val="00F74559"/>
    <w:rsid w:val="00F92056"/>
    <w:rsid w:val="00F93374"/>
    <w:rsid w:val="00F96D41"/>
    <w:rsid w:val="00FA4EBA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D2A8"/>
  <w15:docId w15:val="{E619E2EC-97B3-4531-98B5-D0B6AB7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C1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84116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7938C3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7938C3"/>
    <w:rPr>
      <w:rFonts w:ascii="Corbel" w:hAnsi="Corbe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C3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780854-8DAE-4180-8D13-9539369922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0ABDD-0484-45AD-946E-62C07C720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D6ACE2-154A-4A7E-996A-5C21E301C1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3A2420-47A8-4061-B541-A9AC8F9F1E5A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cp:lastPrinted>2014-03-26T07:25:00Z</cp:lastPrinted>
  <dcterms:created xsi:type="dcterms:W3CDTF">2024-10-10T03:41:00Z</dcterms:created>
  <dcterms:modified xsi:type="dcterms:W3CDTF">2024-10-10T03:42:00Z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